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2023 38 vom 8. November 2023</w:t>
      </w:r>
    </w:p>
    <w:p>
      <w:r>
        <w:t>BL Gerichte, 2023-11-08, DE</w:t>
      </w:r>
    </w:p>
    <w:p>
      <w:r>
        <w:rPr>
          <w:b/>
        </w:rPr>
        <w:t xml:space="preserve">Quelle: </w:t>
      </w:r>
      <w:r>
        <w:t>https://mcp.opencaselaw.ch/entscheid/bl_gerichte_810 2023 38</w:t>
      </w:r>
    </w:p>
    <w:p>
      <w:r>
        <w:t>FR: BL_GERICHTE 810 2023 38 du 8 novembre 2023</w:t>
      </w:r>
    </w:p>
    <w:p>
      <w:r>
        <w:t>IT: BL_GERICHTE 810 2023 38 del 8 novembre 2023</w:t>
      </w:r>
    </w:p>
    <w:p>
      <w:pPr>
        <w:pStyle w:val="Heading2"/>
      </w:pPr>
      <w:r>
        <w:t>Regeste</w:t>
      </w:r>
    </w:p>
    <w:p>
      <w:r>
        <w:t>Baugesuch für Einfamilienhaus / Mehrfamilienhaus mit Autoeinstellhalle / Pavillon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3'000.-- werden den Beschwerdeführerinnen auferlegt und mit dem geleisteten Kostenvorschuss in der Höhe von Fr. 3'000.-- verrechnet.</w:t>
      </w:r>
    </w:p>
    <w:p>
      <w:r>
        <w:rPr>
          <w:b/>
        </w:rPr>
        <w:t>E. 3</w:t>
      </w:r>
    </w:p>
    <w:p>
      <w:r>
        <w:t>Die Beschwerdeführerinnen haben der Beschwerdegegnerin eine Parteientschädigung in der Höhe von Fr. 34'174.40 (inkl. Auslagen und 7.7 % MWST) zu bezahlen. Präsidentin Gerichtsschreiber Gegen diesen Entscheid wurde am 13. Mai 2024 Beschwerde beim Bundesgericht (Verfahrens-nummer 1C_298/2024)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